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4EBCFBA4" w:rsidR="00257B3B" w:rsidRPr="00C73FAD" w:rsidRDefault="00526502" w:rsidP="00C66AAF">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6C7985A5" w14:textId="77777777" w:rsidR="00C66AAF" w:rsidRPr="00156CF4" w:rsidRDefault="00257B3B" w:rsidP="00C66AAF">
      <w:pPr>
        <w:spacing w:after="240" w:line="300" w:lineRule="auto"/>
        <w:ind w:left="2127" w:hanging="2127"/>
        <w:jc w:val="both"/>
        <w:rPr>
          <w:sz w:val="24"/>
          <w:szCs w:val="24"/>
        </w:rPr>
      </w:pPr>
      <w:r w:rsidRPr="00EF0160">
        <w:rPr>
          <w:sz w:val="24"/>
          <w:szCs w:val="24"/>
        </w:rPr>
        <w:t>Vergabeverfahren:</w:t>
      </w:r>
      <w:r w:rsidR="00C73FAD" w:rsidRPr="00EF0160">
        <w:rPr>
          <w:sz w:val="24"/>
          <w:szCs w:val="24"/>
        </w:rPr>
        <w:tab/>
      </w:r>
      <w:r w:rsidR="00C66AAF" w:rsidRPr="00C66AAF">
        <w:rPr>
          <w:sz w:val="24"/>
          <w:szCs w:val="24"/>
        </w:rPr>
        <w:t>Rahmenvertrag über Software-Pflegeleistungen zur Schifffahrtsdatenbank (SZ-DB)</w:t>
      </w:r>
    </w:p>
    <w:p w14:paraId="44F4979B" w14:textId="51061E00" w:rsidR="00B00AD3" w:rsidRPr="00EF0160" w:rsidRDefault="00B00AD3" w:rsidP="00C66AAF">
      <w:pPr>
        <w:spacing w:after="240" w:line="300" w:lineRule="auto"/>
        <w:jc w:val="both"/>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C66AAF">
        <w:rPr>
          <w:sz w:val="24"/>
          <w:szCs w:val="24"/>
        </w:rPr>
        <w:t>-2026-0058</w:t>
      </w:r>
    </w:p>
    <w:p w14:paraId="3968267D" w14:textId="77777777" w:rsidR="007A695F" w:rsidRDefault="007A695F" w:rsidP="00C66AAF">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C66AAF">
      <w:pPr>
        <w:pStyle w:val="berschrift1"/>
        <w:spacing w:before="600" w:after="240" w:line="300" w:lineRule="auto"/>
        <w:jc w:val="both"/>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C66AAF">
      <w:pPr>
        <w:pStyle w:val="Nrberschrift2ITZBund"/>
        <w:spacing w:before="360" w:after="180" w:line="300" w:lineRule="auto"/>
        <w:ind w:left="576" w:hanging="576"/>
        <w:jc w:val="both"/>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C66AAF">
      <w:pPr>
        <w:spacing w:after="240" w:line="300" w:lineRule="auto"/>
        <w:jc w:val="both"/>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C66AAF">
      <w:pPr>
        <w:spacing w:after="240" w:line="300" w:lineRule="auto"/>
        <w:jc w:val="both"/>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C66AAF">
      <w:pPr>
        <w:spacing w:after="240" w:line="300" w:lineRule="auto"/>
        <w:jc w:val="both"/>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C66AAF">
      <w:pPr>
        <w:spacing w:after="240" w:line="300" w:lineRule="auto"/>
        <w:jc w:val="both"/>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C66AAF">
      <w:pPr>
        <w:spacing w:after="240" w:line="300" w:lineRule="auto"/>
        <w:jc w:val="both"/>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C66AAF">
      <w:pPr>
        <w:spacing w:after="240" w:line="300" w:lineRule="auto"/>
        <w:jc w:val="both"/>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C66AAF">
      <w:pPr>
        <w:spacing w:after="240" w:line="300" w:lineRule="auto"/>
        <w:jc w:val="both"/>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C66AAF">
      <w:pPr>
        <w:spacing w:after="240" w:line="300" w:lineRule="auto"/>
        <w:jc w:val="both"/>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C66AAF">
      <w:pPr>
        <w:spacing w:after="240" w:line="300" w:lineRule="auto"/>
        <w:jc w:val="both"/>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C66AAF">
      <w:pPr>
        <w:spacing w:after="240" w:line="300" w:lineRule="auto"/>
        <w:jc w:val="both"/>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C66AAF">
      <w:pPr>
        <w:spacing w:after="240" w:line="300" w:lineRule="auto"/>
        <w:jc w:val="both"/>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C66AAF">
      <w:pPr>
        <w:spacing w:after="240" w:line="300" w:lineRule="auto"/>
        <w:jc w:val="both"/>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C66AAF">
      <w:pPr>
        <w:spacing w:after="240" w:line="300" w:lineRule="auto"/>
        <w:jc w:val="both"/>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C66AAF">
      <w:pPr>
        <w:spacing w:after="240" w:line="300" w:lineRule="auto"/>
        <w:jc w:val="both"/>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C66AAF">
      <w:pPr>
        <w:spacing w:after="240" w:line="300" w:lineRule="auto"/>
        <w:jc w:val="both"/>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820E72E" w:rsidR="00096DCA" w:rsidRDefault="00096DCA" w:rsidP="00C66AAF">
      <w:pPr>
        <w:pStyle w:val="Listenabsatz"/>
        <w:numPr>
          <w:ilvl w:val="0"/>
          <w:numId w:val="1"/>
        </w:numPr>
        <w:spacing w:after="240" w:line="300" w:lineRule="auto"/>
        <w:jc w:val="both"/>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C66AAF">
        <w:rPr>
          <w:rFonts w:eastAsiaTheme="minorHAnsi"/>
          <w:sz w:val="24"/>
          <w:szCs w:val="24"/>
        </w:rPr>
        <w:tab/>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75BC1DF6" w:rsidR="00096DCA" w:rsidRPr="00096DCA" w:rsidRDefault="00096DCA" w:rsidP="00C66AAF">
      <w:pPr>
        <w:pStyle w:val="Listenabsatz"/>
        <w:numPr>
          <w:ilvl w:val="0"/>
          <w:numId w:val="1"/>
        </w:numPr>
        <w:spacing w:after="240" w:line="300" w:lineRule="auto"/>
        <w:jc w:val="both"/>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C66AAF">
        <w:rPr>
          <w:rFonts w:eastAsiaTheme="minorHAnsi"/>
          <w:sz w:val="24"/>
          <w:szCs w:val="24"/>
        </w:rPr>
        <w:tab/>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C66AAF">
      <w:pPr>
        <w:spacing w:after="240" w:line="300" w:lineRule="auto"/>
        <w:jc w:val="both"/>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C66AAF">
      <w:pPr>
        <w:spacing w:after="240" w:line="300" w:lineRule="auto"/>
        <w:jc w:val="both"/>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C66AAF">
      <w:pPr>
        <w:spacing w:after="240" w:line="300" w:lineRule="auto"/>
        <w:jc w:val="both"/>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C66AAF">
      <w:pPr>
        <w:pStyle w:val="Listenabsatz"/>
        <w:numPr>
          <w:ilvl w:val="0"/>
          <w:numId w:val="1"/>
        </w:numPr>
        <w:spacing w:after="240" w:line="300" w:lineRule="auto"/>
        <w:jc w:val="both"/>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C66AAF">
      <w:pPr>
        <w:pStyle w:val="Listenabsatz"/>
        <w:numPr>
          <w:ilvl w:val="0"/>
          <w:numId w:val="1"/>
        </w:numPr>
        <w:spacing w:after="240" w:line="300" w:lineRule="auto"/>
        <w:jc w:val="both"/>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C66AAF">
      <w:pPr>
        <w:pStyle w:val="Listenabsatz"/>
        <w:numPr>
          <w:ilvl w:val="0"/>
          <w:numId w:val="1"/>
        </w:numPr>
        <w:spacing w:after="240" w:line="300" w:lineRule="auto"/>
        <w:jc w:val="both"/>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C66AAF">
      <w:pPr>
        <w:spacing w:after="240" w:line="300" w:lineRule="auto"/>
        <w:jc w:val="both"/>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C66AAF">
      <w:pPr>
        <w:pStyle w:val="Nrberschrift2ITZBund"/>
        <w:spacing w:before="360" w:after="180" w:line="300" w:lineRule="auto"/>
        <w:ind w:left="576" w:hanging="576"/>
        <w:jc w:val="both"/>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proofErr w:type="spellStart"/>
      <w:r w:rsidR="00096DCA" w:rsidRPr="00A05E63">
        <w:rPr>
          <w:b/>
          <w:color w:val="333333" w:themeColor="text1"/>
          <w:sz w:val="32"/>
          <w:szCs w:val="26"/>
        </w:rPr>
        <w:t>Auftragnehmerpflichten</w:t>
      </w:r>
      <w:proofErr w:type="spellEnd"/>
      <w:r w:rsidR="00096DCA" w:rsidRPr="00A05E63">
        <w:rPr>
          <w:b/>
          <w:color w:val="333333" w:themeColor="text1"/>
          <w:sz w:val="32"/>
          <w:szCs w:val="26"/>
        </w:rPr>
        <w:t xml:space="preserve"> </w:t>
      </w:r>
    </w:p>
    <w:p w14:paraId="17036D69" w14:textId="77777777" w:rsidR="00A05E63" w:rsidRDefault="00096DCA" w:rsidP="00C66AAF">
      <w:pPr>
        <w:spacing w:after="240" w:line="300" w:lineRule="auto"/>
        <w:jc w:val="both"/>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C66AAF">
      <w:pPr>
        <w:spacing w:after="240" w:line="300" w:lineRule="auto"/>
        <w:jc w:val="both"/>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C66AAF">
      <w:pPr>
        <w:spacing w:after="240" w:line="300" w:lineRule="auto"/>
        <w:jc w:val="both"/>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spätestens zwei Monate nach Auftragserteilung vor. Erstreckt sich die Verpflichtung auch auf </w:t>
      </w:r>
      <w:r w:rsidRPr="00096DCA">
        <w:rPr>
          <w:rFonts w:eastAsiaTheme="minorHAnsi"/>
          <w:sz w:val="24"/>
          <w:szCs w:val="24"/>
        </w:rPr>
        <w:lastRenderedPageBreak/>
        <w:t xml:space="preserve">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C66AAF">
      <w:pPr>
        <w:spacing w:after="240" w:line="300" w:lineRule="auto"/>
        <w:jc w:val="both"/>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C66AAF">
      <w:pPr>
        <w:pStyle w:val="Nrberschrift2ITZBund"/>
        <w:spacing w:before="360" w:after="180" w:line="300" w:lineRule="auto"/>
        <w:ind w:left="576" w:hanging="576"/>
        <w:jc w:val="both"/>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C66AAF">
      <w:pPr>
        <w:spacing w:after="240" w:line="300" w:lineRule="auto"/>
        <w:jc w:val="both"/>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C66AAF">
      <w:pPr>
        <w:spacing w:after="240" w:line="300" w:lineRule="auto"/>
        <w:jc w:val="both"/>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C66AAF">
      <w:pPr>
        <w:spacing w:after="240" w:line="300" w:lineRule="auto"/>
        <w:jc w:val="both"/>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C66AAF">
      <w:pPr>
        <w:pStyle w:val="Nrberschrift3ITZBund"/>
        <w:spacing w:before="360" w:after="180" w:line="300" w:lineRule="auto"/>
        <w:ind w:left="720" w:hanging="720"/>
        <w:jc w:val="both"/>
        <w:rPr>
          <w:b/>
          <w:color w:val="007A89" w:themeColor="text2"/>
          <w:sz w:val="28"/>
        </w:rPr>
      </w:pPr>
      <w:r w:rsidRPr="00A05E63">
        <w:rPr>
          <w:b/>
          <w:color w:val="007A89" w:themeColor="text2"/>
          <w:sz w:val="28"/>
        </w:rPr>
        <w:t xml:space="preserve">Variante 1 </w:t>
      </w:r>
    </w:p>
    <w:p w14:paraId="60514582" w14:textId="73F93A3B" w:rsidR="007A6003" w:rsidRDefault="007A6003" w:rsidP="00C66AAF">
      <w:pPr>
        <w:spacing w:after="240" w:line="300" w:lineRule="auto"/>
        <w:jc w:val="both"/>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C66AAF">
      <w:pPr>
        <w:pStyle w:val="Listenabsatz"/>
        <w:numPr>
          <w:ilvl w:val="0"/>
          <w:numId w:val="5"/>
        </w:numPr>
        <w:jc w:val="both"/>
        <w:rPr>
          <w:rFonts w:eastAsiaTheme="minorHAnsi"/>
          <w:sz w:val="24"/>
        </w:rPr>
      </w:pPr>
      <w:r w:rsidRPr="00A05E63">
        <w:rPr>
          <w:rFonts w:eastAsiaTheme="minorHAnsi"/>
          <w:sz w:val="24"/>
        </w:rPr>
        <w:lastRenderedPageBreak/>
        <w:t xml:space="preserve">indem er pro jeweiligem Hauptleistungsbestandteil die folgenden Informationen für Stufe 1 der Lieferkette benennt: </w:t>
      </w:r>
    </w:p>
    <w:p w14:paraId="5A18CBFF" w14:textId="00C84B22" w:rsidR="00D74C65" w:rsidRPr="00A05E63" w:rsidRDefault="00D74C65" w:rsidP="00C66AAF">
      <w:pPr>
        <w:pStyle w:val="Listenabsatz"/>
        <w:numPr>
          <w:ilvl w:val="0"/>
          <w:numId w:val="6"/>
        </w:numPr>
        <w:ind w:left="1276"/>
        <w:jc w:val="both"/>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C66AAF">
      <w:pPr>
        <w:pStyle w:val="Listenabsatz"/>
        <w:numPr>
          <w:ilvl w:val="0"/>
          <w:numId w:val="6"/>
        </w:numPr>
        <w:ind w:left="1276"/>
        <w:jc w:val="both"/>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C66AAF">
      <w:pPr>
        <w:pStyle w:val="Listenabsatz"/>
        <w:numPr>
          <w:ilvl w:val="0"/>
          <w:numId w:val="6"/>
        </w:numPr>
        <w:spacing w:after="0"/>
        <w:ind w:left="1276" w:hanging="357"/>
        <w:jc w:val="both"/>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C66AAF">
      <w:pPr>
        <w:spacing w:after="0"/>
        <w:ind w:left="709"/>
        <w:jc w:val="both"/>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C66AAF">
      <w:pPr>
        <w:pStyle w:val="Listenabsatz"/>
        <w:numPr>
          <w:ilvl w:val="0"/>
          <w:numId w:val="5"/>
        </w:numPr>
        <w:jc w:val="both"/>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C66AAF">
      <w:pPr>
        <w:pStyle w:val="Listenabsatz"/>
        <w:numPr>
          <w:ilvl w:val="0"/>
          <w:numId w:val="5"/>
        </w:numPr>
        <w:jc w:val="both"/>
        <w:rPr>
          <w:rFonts w:eastAsiaTheme="minorHAnsi"/>
          <w:sz w:val="24"/>
        </w:rPr>
      </w:pPr>
      <w:r w:rsidRPr="00A05E63">
        <w:rPr>
          <w:rFonts w:eastAsiaTheme="minorHAnsi"/>
          <w:sz w:val="24"/>
        </w:rPr>
        <w:t xml:space="preserve">mit welchen Nachweisen </w:t>
      </w:r>
      <w:proofErr w:type="spellStart"/>
      <w:r w:rsidRPr="00A05E63">
        <w:rPr>
          <w:rFonts w:eastAsiaTheme="minorHAnsi"/>
          <w:sz w:val="24"/>
        </w:rPr>
        <w:t>i.S.d</w:t>
      </w:r>
      <w:proofErr w:type="spellEnd"/>
      <w:r w:rsidRPr="00A05E63">
        <w:rPr>
          <w:rFonts w:eastAsiaTheme="minorHAnsi"/>
          <w:sz w:val="24"/>
        </w:rPr>
        <w:t xml:space="preserve">. Dokumentenkatalogs er belegen wird, dass die vereinbarten Verpflichtungen bei Ausführung des Auftrages eingehalten wurden. </w:t>
      </w:r>
    </w:p>
    <w:p w14:paraId="0A6DA462" w14:textId="0D2202AC" w:rsidR="00C05B20" w:rsidRPr="00C05B20" w:rsidRDefault="00C05B20" w:rsidP="00C66AAF">
      <w:pPr>
        <w:spacing w:after="240" w:line="300" w:lineRule="auto"/>
        <w:jc w:val="both"/>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w:t>
      </w:r>
      <w:proofErr w:type="spellStart"/>
      <w:r w:rsidRPr="00C05B20">
        <w:rPr>
          <w:rFonts w:eastAsiaTheme="minorHAnsi"/>
          <w:sz w:val="24"/>
          <w:szCs w:val="24"/>
        </w:rPr>
        <w:t>Auftragnehmerpflichten</w:t>
      </w:r>
      <w:proofErr w:type="spellEnd"/>
      <w:r w:rsidRPr="00C05B20">
        <w:rPr>
          <w:rFonts w:eastAsiaTheme="minorHAnsi"/>
          <w:sz w:val="24"/>
          <w:szCs w:val="24"/>
        </w:rPr>
        <w:t xml:space="preserve">, Absatz 4 bleiben hiervon unberührt. </w:t>
      </w:r>
    </w:p>
    <w:p w14:paraId="74B72804" w14:textId="77777777" w:rsidR="00515252" w:rsidRPr="00515252" w:rsidRDefault="00515252" w:rsidP="00C66AAF">
      <w:pPr>
        <w:spacing w:after="240" w:line="300" w:lineRule="auto"/>
        <w:jc w:val="both"/>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C66AAF">
      <w:pPr>
        <w:spacing w:after="240" w:line="300" w:lineRule="auto"/>
        <w:jc w:val="both"/>
        <w:rPr>
          <w:rFonts w:eastAsiaTheme="minorHAnsi"/>
          <w:sz w:val="24"/>
          <w:szCs w:val="24"/>
        </w:rPr>
      </w:pPr>
      <w:r w:rsidRPr="00515252">
        <w:rPr>
          <w:rFonts w:eastAsiaTheme="minorHAnsi"/>
          <w:sz w:val="24"/>
          <w:szCs w:val="24"/>
        </w:rPr>
        <w:lastRenderedPageBreak/>
        <w:t>Mit Einreichung der Unterlagen nach Variante 1 erklärt der Auftragnehmer, dass sich diese auch tatsächlich auf die vertragsgegenständliche Leistung beziehen.</w:t>
      </w:r>
    </w:p>
    <w:p w14:paraId="4752A38D" w14:textId="5B145FAD" w:rsidR="007A6003" w:rsidRPr="00A05E63" w:rsidRDefault="00EC15F6" w:rsidP="00C66AAF">
      <w:pPr>
        <w:pStyle w:val="Nrberschrift3ITZBund"/>
        <w:spacing w:before="360" w:after="180" w:line="300" w:lineRule="auto"/>
        <w:ind w:left="720" w:hanging="720"/>
        <w:jc w:val="both"/>
        <w:rPr>
          <w:b/>
          <w:color w:val="007A89" w:themeColor="text2"/>
          <w:sz w:val="28"/>
        </w:rPr>
      </w:pPr>
      <w:r w:rsidRPr="00A05E63">
        <w:rPr>
          <w:b/>
          <w:color w:val="007A89" w:themeColor="text2"/>
          <w:sz w:val="28"/>
        </w:rPr>
        <w:t>Variante 2</w:t>
      </w:r>
    </w:p>
    <w:p w14:paraId="3ABB8EC5" w14:textId="5D117090" w:rsidR="007A6003" w:rsidRDefault="002D621F" w:rsidP="00C66AAF">
      <w:pPr>
        <w:spacing w:after="240" w:line="300" w:lineRule="auto"/>
        <w:jc w:val="both"/>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C66AAF">
      <w:pPr>
        <w:pStyle w:val="Listenabsatz"/>
        <w:numPr>
          <w:ilvl w:val="0"/>
          <w:numId w:val="7"/>
        </w:numPr>
        <w:spacing w:after="240" w:line="300" w:lineRule="auto"/>
        <w:ind w:left="709"/>
        <w:jc w:val="both"/>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C66AAF">
      <w:pPr>
        <w:pStyle w:val="Listenabsatz"/>
        <w:numPr>
          <w:ilvl w:val="0"/>
          <w:numId w:val="7"/>
        </w:numPr>
        <w:spacing w:after="240" w:line="300" w:lineRule="auto"/>
        <w:ind w:left="709"/>
        <w:jc w:val="both"/>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C66AAF">
      <w:pPr>
        <w:pStyle w:val="Listenabsatz"/>
        <w:numPr>
          <w:ilvl w:val="0"/>
          <w:numId w:val="7"/>
        </w:numPr>
        <w:spacing w:after="240" w:line="300" w:lineRule="auto"/>
        <w:ind w:left="709"/>
        <w:jc w:val="both"/>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w:t>
      </w:r>
      <w:proofErr w:type="spellStart"/>
      <w:r w:rsidRPr="00DC7B8F">
        <w:rPr>
          <w:rFonts w:eastAsiaTheme="minorHAnsi"/>
          <w:sz w:val="24"/>
          <w:szCs w:val="24"/>
        </w:rPr>
        <w:t>of</w:t>
      </w:r>
      <w:proofErr w:type="spellEnd"/>
      <w:r w:rsidRPr="00DC7B8F">
        <w:rPr>
          <w:rFonts w:eastAsiaTheme="minorHAnsi"/>
          <w:sz w:val="24"/>
          <w:szCs w:val="24"/>
        </w:rPr>
        <w:t xml:space="preserve"> Conduct) </w:t>
      </w:r>
    </w:p>
    <w:p w14:paraId="6A704D54" w14:textId="77777777" w:rsidR="002D621F" w:rsidRPr="00DC7B8F" w:rsidRDefault="002D621F" w:rsidP="00C66AAF">
      <w:pPr>
        <w:pStyle w:val="Listenabsatz"/>
        <w:numPr>
          <w:ilvl w:val="0"/>
          <w:numId w:val="7"/>
        </w:numPr>
        <w:spacing w:after="240" w:line="300" w:lineRule="auto"/>
        <w:ind w:left="709"/>
        <w:jc w:val="both"/>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C66AAF">
      <w:pPr>
        <w:pStyle w:val="Listenabsatz"/>
        <w:numPr>
          <w:ilvl w:val="0"/>
          <w:numId w:val="7"/>
        </w:numPr>
        <w:spacing w:after="240" w:line="300" w:lineRule="auto"/>
        <w:ind w:left="709"/>
        <w:jc w:val="both"/>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C66AAF">
      <w:pPr>
        <w:spacing w:after="240" w:line="300" w:lineRule="auto"/>
        <w:jc w:val="both"/>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C66AAF">
      <w:pPr>
        <w:pStyle w:val="Listenabsatz"/>
        <w:numPr>
          <w:ilvl w:val="0"/>
          <w:numId w:val="3"/>
        </w:numPr>
        <w:spacing w:after="240" w:line="300" w:lineRule="auto"/>
        <w:jc w:val="both"/>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C66AAF">
      <w:pPr>
        <w:pStyle w:val="Listenabsatz"/>
        <w:numPr>
          <w:ilvl w:val="0"/>
          <w:numId w:val="3"/>
        </w:numPr>
        <w:spacing w:after="240" w:line="300" w:lineRule="auto"/>
        <w:jc w:val="both"/>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C66AAF">
      <w:pPr>
        <w:pStyle w:val="Listenabsatz"/>
        <w:numPr>
          <w:ilvl w:val="0"/>
          <w:numId w:val="3"/>
        </w:numPr>
        <w:spacing w:after="240" w:line="300" w:lineRule="auto"/>
        <w:jc w:val="both"/>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C66AAF">
      <w:pPr>
        <w:spacing w:after="240" w:line="300" w:lineRule="auto"/>
        <w:jc w:val="both"/>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C66AAF">
      <w:pPr>
        <w:spacing w:after="240" w:line="300" w:lineRule="auto"/>
        <w:jc w:val="both"/>
        <w:rPr>
          <w:rFonts w:eastAsiaTheme="minorHAnsi"/>
          <w:sz w:val="24"/>
          <w:szCs w:val="24"/>
        </w:rPr>
      </w:pPr>
      <w:r w:rsidRPr="00242E65">
        <w:rPr>
          <w:rFonts w:eastAsiaTheme="minorHAnsi"/>
          <w:sz w:val="24"/>
          <w:szCs w:val="24"/>
        </w:rPr>
        <w:t xml:space="preserve">Anerkannt werden vom Auftraggeber jedenfalls die Audit-Standards SA 8000,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platinum</w:t>
      </w:r>
      <w:proofErr w:type="spellEnd"/>
      <w:r w:rsidRPr="00242E65">
        <w:rPr>
          <w:rFonts w:eastAsiaTheme="minorHAnsi"/>
          <w:sz w:val="24"/>
          <w:szCs w:val="24"/>
        </w:rPr>
        <w:t>/</w:t>
      </w:r>
      <w:proofErr w:type="spellStart"/>
      <w:r w:rsidRPr="00242E65">
        <w:rPr>
          <w:rFonts w:eastAsiaTheme="minorHAnsi"/>
          <w:sz w:val="24"/>
          <w:szCs w:val="24"/>
        </w:rPr>
        <w:t>gold</w:t>
      </w:r>
      <w:proofErr w:type="spellEnd"/>
      <w:r w:rsidRPr="00242E65">
        <w:rPr>
          <w:rFonts w:eastAsiaTheme="minorHAnsi"/>
          <w:sz w:val="24"/>
          <w:szCs w:val="24"/>
        </w:rPr>
        <w:t xml:space="preserve"> und TCO </w:t>
      </w:r>
      <w:proofErr w:type="spellStart"/>
      <w:r w:rsidRPr="00242E65">
        <w:rPr>
          <w:rFonts w:eastAsiaTheme="minorHAnsi"/>
          <w:sz w:val="24"/>
          <w:szCs w:val="24"/>
        </w:rPr>
        <w:t>certified</w:t>
      </w:r>
      <w:proofErr w:type="spellEnd"/>
      <w:r w:rsidRPr="00242E65">
        <w:rPr>
          <w:rFonts w:eastAsiaTheme="minorHAnsi"/>
          <w:sz w:val="24"/>
          <w:szCs w:val="24"/>
        </w:rPr>
        <w:t>.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C66AAF">
      <w:pPr>
        <w:spacing w:after="240" w:line="300" w:lineRule="auto"/>
        <w:jc w:val="both"/>
        <w:rPr>
          <w:rFonts w:eastAsiaTheme="minorHAnsi"/>
          <w:sz w:val="24"/>
          <w:szCs w:val="24"/>
        </w:rPr>
      </w:pPr>
      <w:r w:rsidRPr="00242E65">
        <w:rPr>
          <w:rFonts w:eastAsiaTheme="minorHAnsi"/>
          <w:sz w:val="24"/>
          <w:szCs w:val="24"/>
        </w:rPr>
        <w:lastRenderedPageBreak/>
        <w:t xml:space="preserve">Soweit im Rahmen des Audits bestätigt wird, dass keine erheblichen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der Audit-Standard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silver</w:t>
      </w:r>
      <w:proofErr w:type="spellEnd"/>
      <w:r w:rsidRPr="00242E65">
        <w:rPr>
          <w:rFonts w:eastAsiaTheme="minorHAnsi"/>
          <w:sz w:val="24"/>
          <w:szCs w:val="24"/>
        </w:rPr>
        <w:t xml:space="preserve"> anerkannt. Die nachweisliche Erfüllung dieser Voraussetzung kann beispielsweise durch die Offenlegung der detaillierten Bewertung der Audit-Ergebnisse bezogen auf die </w:t>
      </w:r>
      <w:proofErr w:type="spellStart"/>
      <w:r w:rsidRPr="00242E65">
        <w:rPr>
          <w:rFonts w:eastAsiaTheme="minorHAnsi"/>
          <w:sz w:val="24"/>
          <w:szCs w:val="24"/>
        </w:rPr>
        <w:t>i.S.d</w:t>
      </w:r>
      <w:proofErr w:type="spellEnd"/>
      <w:r w:rsidRPr="00242E65">
        <w:rPr>
          <w:rFonts w:eastAsiaTheme="minorHAnsi"/>
          <w:sz w:val="24"/>
          <w:szCs w:val="24"/>
        </w:rPr>
        <w:t>. Erklärung geforderten ILO-Normen gegenüber dem Auftraggeber dargelegt werden.</w:t>
      </w:r>
    </w:p>
    <w:p w14:paraId="33266EB9" w14:textId="048416EB" w:rsidR="00242E65" w:rsidRPr="00242E65" w:rsidRDefault="00242E65" w:rsidP="00C66AAF">
      <w:pPr>
        <w:spacing w:after="240" w:line="300" w:lineRule="auto"/>
        <w:jc w:val="both"/>
        <w:rPr>
          <w:rFonts w:eastAsiaTheme="minorHAnsi"/>
          <w:sz w:val="24"/>
          <w:szCs w:val="24"/>
        </w:rPr>
      </w:pPr>
      <w:r w:rsidRPr="00242E65">
        <w:rPr>
          <w:rFonts w:eastAsiaTheme="minorHAnsi"/>
          <w:sz w:val="24"/>
          <w:szCs w:val="24"/>
        </w:rPr>
        <w:t xml:space="preserve">Soweit im Rahmen des Audits bestätigt wird, dass zum Zeitpunkt des Audits keine erheblichen Verbesserungsfelder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ein Audit gemäß dem </w:t>
      </w:r>
      <w:proofErr w:type="spellStart"/>
      <w:r w:rsidRPr="00242E65">
        <w:rPr>
          <w:rFonts w:eastAsiaTheme="minorHAnsi"/>
          <w:sz w:val="24"/>
          <w:szCs w:val="24"/>
        </w:rPr>
        <w:t>amfori</w:t>
      </w:r>
      <w:proofErr w:type="spellEnd"/>
      <w:r w:rsidRPr="00242E65">
        <w:rPr>
          <w:rFonts w:eastAsiaTheme="minorHAnsi"/>
          <w:sz w:val="24"/>
          <w:szCs w:val="24"/>
        </w:rPr>
        <w:t xml:space="preserve"> BSCI Standard anerkannt. Dies kann durch eine Bestätigung von </w:t>
      </w:r>
      <w:proofErr w:type="spellStart"/>
      <w:r w:rsidRPr="00242E65">
        <w:rPr>
          <w:rFonts w:eastAsiaTheme="minorHAnsi"/>
          <w:sz w:val="24"/>
          <w:szCs w:val="24"/>
        </w:rPr>
        <w:t>amfori</w:t>
      </w:r>
      <w:proofErr w:type="spellEnd"/>
      <w:r w:rsidRPr="00242E65">
        <w:rPr>
          <w:rFonts w:eastAsiaTheme="minorHAnsi"/>
          <w:sz w:val="24"/>
          <w:szCs w:val="24"/>
        </w:rPr>
        <w:t xml:space="preserve">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C66AAF">
      <w:pPr>
        <w:spacing w:after="240" w:line="300" w:lineRule="auto"/>
        <w:jc w:val="both"/>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C66AAF">
      <w:pPr>
        <w:spacing w:after="240" w:line="300" w:lineRule="auto"/>
        <w:jc w:val="both"/>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C66AAF">
      <w:pPr>
        <w:pStyle w:val="Nrberschrift2ITZBund"/>
        <w:spacing w:before="360" w:after="180" w:line="300" w:lineRule="auto"/>
        <w:ind w:left="576" w:hanging="576"/>
        <w:jc w:val="both"/>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proofErr w:type="spellStart"/>
      <w:r w:rsidR="004C64D9" w:rsidRPr="00DC7B8F">
        <w:rPr>
          <w:b/>
          <w:color w:val="333333" w:themeColor="text1"/>
          <w:sz w:val="32"/>
          <w:szCs w:val="26"/>
        </w:rPr>
        <w:t>Auftraggeberrechte</w:t>
      </w:r>
      <w:proofErr w:type="spellEnd"/>
    </w:p>
    <w:p w14:paraId="2510C6A3" w14:textId="1B0D92AF" w:rsidR="008D6DDB" w:rsidRPr="008D6DDB" w:rsidRDefault="008D6DDB" w:rsidP="00C66AAF">
      <w:pPr>
        <w:spacing w:after="240" w:line="300" w:lineRule="auto"/>
        <w:jc w:val="both"/>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C66AAF">
      <w:pPr>
        <w:spacing w:after="240" w:line="300" w:lineRule="auto"/>
        <w:jc w:val="both"/>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C66AAF">
      <w:pPr>
        <w:spacing w:after="240" w:line="300" w:lineRule="auto"/>
        <w:jc w:val="both"/>
        <w:rPr>
          <w:rFonts w:eastAsiaTheme="minorHAnsi"/>
          <w:sz w:val="24"/>
          <w:szCs w:val="24"/>
        </w:rPr>
      </w:pPr>
      <w:r w:rsidRPr="008D6DDB">
        <w:rPr>
          <w:rFonts w:eastAsiaTheme="minorHAnsi"/>
          <w:sz w:val="24"/>
          <w:szCs w:val="24"/>
        </w:rPr>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C66AAF">
      <w:pPr>
        <w:spacing w:after="240" w:line="300" w:lineRule="auto"/>
        <w:jc w:val="both"/>
        <w:rPr>
          <w:rFonts w:eastAsiaTheme="minorHAnsi"/>
          <w:sz w:val="24"/>
          <w:szCs w:val="24"/>
        </w:rPr>
      </w:pPr>
      <w:r w:rsidRPr="008D6DDB">
        <w:rPr>
          <w:rFonts w:eastAsiaTheme="minorHAnsi"/>
          <w:sz w:val="24"/>
          <w:szCs w:val="24"/>
        </w:rPr>
        <w:lastRenderedPageBreak/>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C66AAF">
      <w:pPr>
        <w:pStyle w:val="Nrberschrift2ITZBund"/>
        <w:spacing w:before="360" w:after="180" w:line="300" w:lineRule="auto"/>
        <w:ind w:left="576" w:hanging="576"/>
        <w:jc w:val="both"/>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C66AAF">
      <w:pPr>
        <w:spacing w:after="240" w:line="300" w:lineRule="auto"/>
        <w:jc w:val="both"/>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C66AAF">
      <w:pPr>
        <w:spacing w:after="240" w:line="300" w:lineRule="auto"/>
        <w:jc w:val="both"/>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C66AAF">
      <w:pPr>
        <w:spacing w:after="240" w:line="300" w:lineRule="auto"/>
        <w:jc w:val="both"/>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C66AAF">
      <w:pPr>
        <w:spacing w:after="240" w:line="300" w:lineRule="auto"/>
        <w:jc w:val="both"/>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C66AAF">
      <w:pPr>
        <w:spacing w:after="240" w:line="300" w:lineRule="auto"/>
        <w:jc w:val="both"/>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festgelegt und richtet sich nach der Schwere und der Dauer des Verstoßes, wobei höchstens ein Betrag von 250.000 Euro ausbedungen wird. </w:t>
      </w:r>
    </w:p>
    <w:p w14:paraId="6EA5B9C5" w14:textId="77777777" w:rsidR="006A7168" w:rsidRPr="006A7168" w:rsidRDefault="006A7168" w:rsidP="00C66AAF">
      <w:pPr>
        <w:spacing w:after="240" w:line="300" w:lineRule="auto"/>
        <w:jc w:val="both"/>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C66AAF">
      <w:pPr>
        <w:spacing w:after="240" w:line="300" w:lineRule="auto"/>
        <w:jc w:val="both"/>
        <w:rPr>
          <w:rFonts w:eastAsiaTheme="minorHAnsi"/>
          <w:sz w:val="24"/>
          <w:szCs w:val="24"/>
        </w:rPr>
      </w:pPr>
      <w:r w:rsidRPr="006A7168">
        <w:rPr>
          <w:rFonts w:eastAsiaTheme="minorHAnsi"/>
          <w:sz w:val="24"/>
          <w:szCs w:val="24"/>
        </w:rPr>
        <w:t xml:space="preserve">§ 341 Abs.3 BGB wird dahingehend abgeändert, dass die Strafe bis zur Schlusszahlung geltend gemacht werden kann. Dies gilt nicht, wenn sich der Auftraggeber bei der Abnahme die </w:t>
      </w:r>
      <w:r w:rsidRPr="006A7168">
        <w:rPr>
          <w:rFonts w:eastAsiaTheme="minorHAnsi"/>
          <w:sz w:val="24"/>
          <w:szCs w:val="24"/>
        </w:rPr>
        <w:lastRenderedPageBreak/>
        <w:t>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C66AAF">
      <w:pPr>
        <w:pStyle w:val="Nrberschrift2ITZBund"/>
        <w:spacing w:before="360" w:after="180" w:line="300" w:lineRule="auto"/>
        <w:ind w:left="576" w:hanging="576"/>
        <w:jc w:val="both"/>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C66AAF">
      <w:pPr>
        <w:spacing w:after="240" w:line="300" w:lineRule="auto"/>
        <w:jc w:val="both"/>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867E07" w:rsidP="00C66AAF">
      <w:pPr>
        <w:spacing w:after="240" w:line="300" w:lineRule="auto"/>
        <w:jc w:val="both"/>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867E07" w:rsidP="00C66AAF">
      <w:pPr>
        <w:spacing w:after="240" w:line="300" w:lineRule="auto"/>
        <w:jc w:val="both"/>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867E07" w:rsidP="00C66AAF">
      <w:pPr>
        <w:spacing w:after="240" w:line="300" w:lineRule="auto"/>
        <w:jc w:val="both"/>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C66AAF">
      <w:pPr>
        <w:pStyle w:val="berschrift1"/>
        <w:spacing w:before="600" w:after="240" w:line="300" w:lineRule="auto"/>
        <w:jc w:val="both"/>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C66AAF">
      <w:pPr>
        <w:spacing w:after="240" w:line="300" w:lineRule="auto"/>
        <w:jc w:val="both"/>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C66AAF">
      <w:pPr>
        <w:pStyle w:val="Listenabsatz"/>
        <w:numPr>
          <w:ilvl w:val="1"/>
          <w:numId w:val="2"/>
        </w:numPr>
        <w:spacing w:after="240" w:line="300" w:lineRule="auto"/>
        <w:ind w:left="709" w:hanging="283"/>
        <w:jc w:val="both"/>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C66AAF">
      <w:pPr>
        <w:pStyle w:val="Listenabsatz"/>
        <w:numPr>
          <w:ilvl w:val="1"/>
          <w:numId w:val="2"/>
        </w:numPr>
        <w:spacing w:after="240" w:line="300" w:lineRule="auto"/>
        <w:ind w:left="709" w:hanging="283"/>
        <w:jc w:val="both"/>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C66AAF">
      <w:pPr>
        <w:spacing w:after="240" w:line="300" w:lineRule="auto"/>
        <w:jc w:val="both"/>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C66AAF">
      <w:pPr>
        <w:spacing w:after="240" w:line="300" w:lineRule="auto"/>
        <w:jc w:val="both"/>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rsidP="00C66AAF">
      <w:pPr>
        <w:jc w:val="both"/>
        <w:rPr>
          <w:rFonts w:eastAsiaTheme="minorHAnsi"/>
          <w:sz w:val="24"/>
          <w:szCs w:val="24"/>
        </w:rPr>
      </w:pPr>
      <w:r>
        <w:rPr>
          <w:rFonts w:eastAsiaTheme="minorHAnsi"/>
          <w:sz w:val="24"/>
          <w:szCs w:val="24"/>
        </w:rPr>
        <w:br w:type="page"/>
      </w:r>
    </w:p>
    <w:p w14:paraId="453F44F0" w14:textId="0581D10C" w:rsidR="00B74923" w:rsidRPr="00DC7B8F" w:rsidRDefault="00B74923" w:rsidP="00C66AAF">
      <w:pPr>
        <w:pStyle w:val="Nrberschrift2ITZBund"/>
        <w:numPr>
          <w:ilvl w:val="0"/>
          <w:numId w:val="8"/>
        </w:numPr>
        <w:spacing w:before="360" w:after="180" w:line="300" w:lineRule="auto"/>
        <w:ind w:left="567" w:hanging="567"/>
        <w:jc w:val="both"/>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C66AAF">
      <w:pPr>
        <w:spacing w:after="240" w:line="300" w:lineRule="auto"/>
        <w:jc w:val="both"/>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C66AAF">
      <w:pPr>
        <w:spacing w:after="240" w:line="300" w:lineRule="auto"/>
        <w:jc w:val="both"/>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C66AAF">
      <w:pPr>
        <w:pStyle w:val="Listenabsatz"/>
        <w:numPr>
          <w:ilvl w:val="1"/>
          <w:numId w:val="4"/>
        </w:numPr>
        <w:spacing w:after="240" w:line="300" w:lineRule="auto"/>
        <w:ind w:left="709" w:hanging="709"/>
        <w:jc w:val="both"/>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C66AAF">
      <w:pPr>
        <w:pStyle w:val="Listenabsatz"/>
        <w:numPr>
          <w:ilvl w:val="1"/>
          <w:numId w:val="4"/>
        </w:numPr>
        <w:spacing w:after="240" w:line="300" w:lineRule="auto"/>
        <w:ind w:left="709" w:hanging="709"/>
        <w:jc w:val="both"/>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w:t>
      </w:r>
      <w:proofErr w:type="spellStart"/>
      <w:r w:rsidRPr="00B74923">
        <w:rPr>
          <w:rFonts w:eastAsiaTheme="minorHAnsi"/>
          <w:sz w:val="24"/>
          <w:szCs w:val="24"/>
        </w:rPr>
        <w:t>dass</w:t>
      </w:r>
      <w:proofErr w:type="spellEnd"/>
      <w:r w:rsidRPr="00B74923">
        <w:rPr>
          <w:rFonts w:eastAsiaTheme="minorHAnsi"/>
          <w:sz w:val="24"/>
          <w:szCs w:val="24"/>
        </w:rPr>
        <w:t xml:space="preserve"> den Arbeitskräften ggf. berechnete Gebühren zurückgezahlt werden. </w:t>
      </w:r>
    </w:p>
    <w:p w14:paraId="62C7D5B4" w14:textId="67C7F27B" w:rsidR="00B74923" w:rsidRPr="00B74923" w:rsidRDefault="00B74923" w:rsidP="00C66AAF">
      <w:pPr>
        <w:pStyle w:val="Listenabsatz"/>
        <w:numPr>
          <w:ilvl w:val="1"/>
          <w:numId w:val="4"/>
        </w:numPr>
        <w:spacing w:after="240" w:line="300" w:lineRule="auto"/>
        <w:ind w:left="709" w:hanging="709"/>
        <w:jc w:val="both"/>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C66AAF">
      <w:pPr>
        <w:pStyle w:val="Listenabsatz"/>
        <w:numPr>
          <w:ilvl w:val="1"/>
          <w:numId w:val="4"/>
        </w:numPr>
        <w:spacing w:after="240" w:line="300" w:lineRule="auto"/>
        <w:ind w:left="709" w:hanging="709"/>
        <w:jc w:val="both"/>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C66AAF">
      <w:pPr>
        <w:pStyle w:val="Listenabsatz"/>
        <w:numPr>
          <w:ilvl w:val="1"/>
          <w:numId w:val="4"/>
        </w:numPr>
        <w:spacing w:after="240" w:line="300" w:lineRule="auto"/>
        <w:ind w:left="709" w:hanging="709"/>
        <w:jc w:val="both"/>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C66AAF">
      <w:pPr>
        <w:pStyle w:val="Listenabsatz"/>
        <w:numPr>
          <w:ilvl w:val="1"/>
          <w:numId w:val="4"/>
        </w:numPr>
        <w:spacing w:after="240" w:line="300" w:lineRule="auto"/>
        <w:ind w:left="709" w:hanging="709"/>
        <w:jc w:val="both"/>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rsidP="00C66AAF">
      <w:pPr>
        <w:jc w:val="both"/>
        <w:rPr>
          <w:rFonts w:eastAsiaTheme="minorHAnsi"/>
          <w:sz w:val="24"/>
          <w:szCs w:val="24"/>
        </w:rPr>
      </w:pPr>
      <w:r>
        <w:rPr>
          <w:rFonts w:eastAsiaTheme="minorHAnsi"/>
          <w:sz w:val="24"/>
          <w:szCs w:val="24"/>
        </w:rPr>
        <w:br w:type="page"/>
      </w:r>
    </w:p>
    <w:p w14:paraId="76D84D44" w14:textId="0261E9AD" w:rsidR="00491249" w:rsidRPr="00DC7B8F" w:rsidRDefault="00491249" w:rsidP="00C66AAF">
      <w:pPr>
        <w:pStyle w:val="Nrberschrift2ITZBund"/>
        <w:numPr>
          <w:ilvl w:val="0"/>
          <w:numId w:val="8"/>
        </w:numPr>
        <w:spacing w:before="360" w:after="180" w:line="300" w:lineRule="auto"/>
        <w:ind w:left="567" w:hanging="567"/>
        <w:jc w:val="both"/>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C66AAF">
      <w:pPr>
        <w:spacing w:after="240" w:line="300" w:lineRule="auto"/>
        <w:jc w:val="both"/>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C66AAF">
      <w:pPr>
        <w:spacing w:after="240" w:line="300" w:lineRule="auto"/>
        <w:jc w:val="both"/>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C66AAF">
      <w:pPr>
        <w:pStyle w:val="Listenabsatz"/>
        <w:numPr>
          <w:ilvl w:val="1"/>
          <w:numId w:val="8"/>
        </w:numPr>
        <w:spacing w:after="240" w:line="300" w:lineRule="auto"/>
        <w:ind w:hanging="720"/>
        <w:jc w:val="both"/>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C66AAF">
      <w:pPr>
        <w:pStyle w:val="Listenabsatz"/>
        <w:numPr>
          <w:ilvl w:val="1"/>
          <w:numId w:val="8"/>
        </w:numPr>
        <w:spacing w:after="240" w:line="300" w:lineRule="auto"/>
        <w:ind w:hanging="720"/>
        <w:jc w:val="both"/>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C66AAF">
      <w:pPr>
        <w:pStyle w:val="Listenabsatz"/>
        <w:numPr>
          <w:ilvl w:val="1"/>
          <w:numId w:val="8"/>
        </w:numPr>
        <w:spacing w:after="240" w:line="300" w:lineRule="auto"/>
        <w:ind w:hanging="720"/>
        <w:jc w:val="both"/>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rsidP="00C66AAF">
      <w:pPr>
        <w:jc w:val="both"/>
        <w:rPr>
          <w:rFonts w:eastAsiaTheme="minorHAnsi"/>
          <w:sz w:val="24"/>
          <w:szCs w:val="24"/>
        </w:rPr>
      </w:pPr>
      <w:r>
        <w:rPr>
          <w:rFonts w:eastAsiaTheme="minorHAnsi"/>
          <w:sz w:val="24"/>
          <w:szCs w:val="24"/>
        </w:rPr>
        <w:br w:type="page"/>
      </w:r>
    </w:p>
    <w:p w14:paraId="4D3E7F90" w14:textId="03FB4F96" w:rsidR="00491249" w:rsidRPr="00E73564" w:rsidRDefault="00491249" w:rsidP="00C66AAF">
      <w:pPr>
        <w:pStyle w:val="Nrberschrift2ITZBund"/>
        <w:numPr>
          <w:ilvl w:val="0"/>
          <w:numId w:val="8"/>
        </w:numPr>
        <w:spacing w:before="360" w:after="180" w:line="300" w:lineRule="auto"/>
        <w:ind w:left="567" w:hanging="567"/>
        <w:jc w:val="both"/>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C66AAF">
      <w:pPr>
        <w:spacing w:after="240" w:line="300" w:lineRule="auto"/>
        <w:jc w:val="both"/>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C66AAF">
      <w:pPr>
        <w:spacing w:after="240" w:line="300" w:lineRule="auto"/>
        <w:jc w:val="both"/>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rsidP="00C66AAF">
      <w:pPr>
        <w:jc w:val="both"/>
        <w:rPr>
          <w:rFonts w:eastAsiaTheme="minorHAnsi"/>
          <w:sz w:val="24"/>
          <w:szCs w:val="24"/>
        </w:rPr>
      </w:pPr>
      <w:r>
        <w:rPr>
          <w:rFonts w:eastAsiaTheme="minorHAnsi"/>
          <w:sz w:val="24"/>
          <w:szCs w:val="24"/>
        </w:rPr>
        <w:br w:type="page"/>
      </w:r>
    </w:p>
    <w:p w14:paraId="73434460" w14:textId="104FB144" w:rsidR="00AC3807" w:rsidRPr="00E73564" w:rsidRDefault="00AC3807" w:rsidP="00C66AAF">
      <w:pPr>
        <w:pStyle w:val="Nrberschrift2ITZBund"/>
        <w:numPr>
          <w:ilvl w:val="0"/>
          <w:numId w:val="8"/>
        </w:numPr>
        <w:spacing w:before="360" w:after="180" w:line="300" w:lineRule="auto"/>
        <w:ind w:left="567" w:hanging="567"/>
        <w:jc w:val="both"/>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C66AAF">
      <w:pPr>
        <w:spacing w:after="240" w:line="300" w:lineRule="auto"/>
        <w:jc w:val="both"/>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C66AAF">
      <w:pPr>
        <w:spacing w:after="240" w:line="300" w:lineRule="auto"/>
        <w:jc w:val="both"/>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C66AAF">
      <w:pPr>
        <w:spacing w:after="240" w:line="300" w:lineRule="auto"/>
        <w:jc w:val="both"/>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C66AAF">
      <w:pPr>
        <w:pStyle w:val="Listenabsatz"/>
        <w:numPr>
          <w:ilvl w:val="1"/>
          <w:numId w:val="8"/>
        </w:numPr>
        <w:spacing w:after="240" w:line="300" w:lineRule="auto"/>
        <w:ind w:hanging="720"/>
        <w:jc w:val="both"/>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rsidP="00C66AAF">
      <w:pPr>
        <w:jc w:val="both"/>
        <w:rPr>
          <w:rFonts w:eastAsiaTheme="minorHAnsi"/>
          <w:sz w:val="24"/>
          <w:szCs w:val="24"/>
        </w:rPr>
      </w:pPr>
      <w:r>
        <w:rPr>
          <w:rFonts w:eastAsiaTheme="minorHAnsi"/>
          <w:sz w:val="24"/>
          <w:szCs w:val="24"/>
        </w:rPr>
        <w:br w:type="page"/>
      </w:r>
    </w:p>
    <w:p w14:paraId="6531C898" w14:textId="304F7738" w:rsidR="00C243AD" w:rsidRPr="00E73564" w:rsidRDefault="00C243AD" w:rsidP="00C66AAF">
      <w:pPr>
        <w:pStyle w:val="Nrberschrift2ITZBund"/>
        <w:numPr>
          <w:ilvl w:val="0"/>
          <w:numId w:val="8"/>
        </w:numPr>
        <w:spacing w:before="360" w:after="180" w:line="300" w:lineRule="auto"/>
        <w:ind w:left="567" w:hanging="567"/>
        <w:jc w:val="both"/>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C66AAF">
      <w:pPr>
        <w:spacing w:after="240" w:line="300" w:lineRule="auto"/>
        <w:jc w:val="both"/>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Ihre Produkte gesetzlichen Materialrestriktionen (z.B. </w:t>
      </w:r>
      <w:proofErr w:type="spellStart"/>
      <w:r w:rsidRPr="00C243AD">
        <w:rPr>
          <w:rFonts w:eastAsiaTheme="minorHAnsi"/>
          <w:sz w:val="24"/>
          <w:szCs w:val="24"/>
        </w:rPr>
        <w:t>RoHS</w:t>
      </w:r>
      <w:proofErr w:type="spellEnd"/>
      <w:r w:rsidRPr="00C243AD">
        <w:rPr>
          <w:rFonts w:eastAsiaTheme="minorHAnsi"/>
          <w:sz w:val="24"/>
          <w:szCs w:val="24"/>
        </w:rPr>
        <w:t xml:space="preserve">, REACH) entsprechen. </w:t>
      </w:r>
    </w:p>
    <w:p w14:paraId="290BB024" w14:textId="7CA105B0" w:rsidR="00491249"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C66AAF">
      <w:pPr>
        <w:pStyle w:val="Listenabsatz"/>
        <w:numPr>
          <w:ilvl w:val="1"/>
          <w:numId w:val="8"/>
        </w:numPr>
        <w:spacing w:after="240" w:line="300" w:lineRule="auto"/>
        <w:ind w:hanging="720"/>
        <w:jc w:val="both"/>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C66AAF">
      <w:pPr>
        <w:spacing w:after="240" w:line="300" w:lineRule="auto"/>
        <w:jc w:val="both"/>
        <w:rPr>
          <w:rFonts w:eastAsiaTheme="minorHAnsi"/>
          <w:sz w:val="24"/>
          <w:szCs w:val="24"/>
        </w:rPr>
      </w:pPr>
      <w:r>
        <w:rPr>
          <w:rFonts w:eastAsiaTheme="minorHAnsi"/>
          <w:sz w:val="24"/>
          <w:szCs w:val="24"/>
        </w:rPr>
        <w:br w:type="page"/>
      </w:r>
    </w:p>
    <w:p w14:paraId="597CCD21" w14:textId="1E441DBC" w:rsidR="00680780" w:rsidRPr="00E73564" w:rsidRDefault="00680780" w:rsidP="00C66AAF">
      <w:pPr>
        <w:pStyle w:val="Nrberschrift2ITZBund"/>
        <w:numPr>
          <w:ilvl w:val="0"/>
          <w:numId w:val="8"/>
        </w:numPr>
        <w:spacing w:before="360" w:after="180" w:line="300" w:lineRule="auto"/>
        <w:ind w:left="567" w:hanging="567"/>
        <w:jc w:val="both"/>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C66AAF">
      <w:pPr>
        <w:spacing w:after="240" w:line="300" w:lineRule="auto"/>
        <w:jc w:val="both"/>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C66AAF">
      <w:pPr>
        <w:spacing w:after="240" w:line="300" w:lineRule="auto"/>
        <w:jc w:val="both"/>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C66AAF">
      <w:pPr>
        <w:pStyle w:val="Listenabsatz"/>
        <w:numPr>
          <w:ilvl w:val="1"/>
          <w:numId w:val="8"/>
        </w:numPr>
        <w:spacing w:after="240" w:line="300" w:lineRule="auto"/>
        <w:ind w:hanging="720"/>
        <w:jc w:val="both"/>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C66AAF">
      <w:pPr>
        <w:pStyle w:val="Listenabsatz"/>
        <w:numPr>
          <w:ilvl w:val="1"/>
          <w:numId w:val="8"/>
        </w:numPr>
        <w:spacing w:after="240" w:line="300" w:lineRule="auto"/>
        <w:ind w:hanging="720"/>
        <w:jc w:val="both"/>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C66AAF">
      <w:pPr>
        <w:pStyle w:val="Listenabsatz"/>
        <w:numPr>
          <w:ilvl w:val="1"/>
          <w:numId w:val="8"/>
        </w:numPr>
        <w:spacing w:after="240" w:line="300" w:lineRule="auto"/>
        <w:ind w:hanging="720"/>
        <w:jc w:val="both"/>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C66AAF">
      <w:pPr>
        <w:spacing w:after="240" w:line="300" w:lineRule="auto"/>
        <w:jc w:val="both"/>
        <w:rPr>
          <w:rFonts w:eastAsiaTheme="minorHAnsi"/>
          <w:sz w:val="24"/>
          <w:szCs w:val="24"/>
        </w:rPr>
      </w:pPr>
      <w:r>
        <w:rPr>
          <w:rFonts w:eastAsiaTheme="minorHAnsi"/>
          <w:sz w:val="24"/>
          <w:szCs w:val="24"/>
        </w:rPr>
        <w:br w:type="page"/>
      </w:r>
    </w:p>
    <w:p w14:paraId="2F6EF0A7" w14:textId="7AECF74E" w:rsidR="00680780" w:rsidRPr="00E73564" w:rsidRDefault="00680780" w:rsidP="00C66AAF">
      <w:pPr>
        <w:pStyle w:val="Nrberschrift2ITZBund"/>
        <w:numPr>
          <w:ilvl w:val="0"/>
          <w:numId w:val="8"/>
        </w:numPr>
        <w:spacing w:before="360" w:after="180" w:line="300" w:lineRule="auto"/>
        <w:ind w:left="567" w:hanging="567"/>
        <w:jc w:val="both"/>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C66AAF">
      <w:pPr>
        <w:spacing w:after="240" w:line="300" w:lineRule="auto"/>
        <w:jc w:val="both"/>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w:t>
      </w:r>
      <w:proofErr w:type="spellStart"/>
      <w:r w:rsidRPr="00680780">
        <w:rPr>
          <w:rFonts w:eastAsiaTheme="minorHAnsi"/>
          <w:sz w:val="24"/>
          <w:szCs w:val="24"/>
        </w:rPr>
        <w:t>dass</w:t>
      </w:r>
      <w:proofErr w:type="spellEnd"/>
      <w:r w:rsidRPr="00680780">
        <w:rPr>
          <w:rFonts w:eastAsiaTheme="minorHAnsi"/>
          <w:sz w:val="24"/>
          <w:szCs w:val="24"/>
        </w:rPr>
        <w:t xml:space="preserve"> den Mitarbeitenden die gesetzlich vorgeschriebene Arbeitsunterbrechung (Pausen, arbeitsfreie Zeit, Wochenende) während der Auftragsausführung gewährt wird. </w:t>
      </w:r>
    </w:p>
    <w:p w14:paraId="49E37A20" w14:textId="52F3F810" w:rsidR="00680780" w:rsidRPr="00680780" w:rsidRDefault="00680780" w:rsidP="00C66AAF">
      <w:pPr>
        <w:spacing w:after="240" w:line="300" w:lineRule="auto"/>
        <w:jc w:val="both"/>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C66AAF">
      <w:pPr>
        <w:pStyle w:val="Listenabsatz"/>
        <w:numPr>
          <w:ilvl w:val="1"/>
          <w:numId w:val="8"/>
        </w:numPr>
        <w:spacing w:after="240" w:line="300" w:lineRule="auto"/>
        <w:ind w:hanging="720"/>
        <w:jc w:val="both"/>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C66AAF">
      <w:pPr>
        <w:pStyle w:val="Listenabsatz"/>
        <w:numPr>
          <w:ilvl w:val="1"/>
          <w:numId w:val="8"/>
        </w:numPr>
        <w:spacing w:after="240" w:line="300" w:lineRule="auto"/>
        <w:ind w:hanging="720"/>
        <w:jc w:val="both"/>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C66AAF">
      <w:pPr>
        <w:jc w:val="both"/>
        <w:rPr>
          <w:rFonts w:eastAsiaTheme="minorHAnsi"/>
          <w:sz w:val="24"/>
          <w:szCs w:val="24"/>
        </w:rPr>
      </w:pPr>
      <w:r>
        <w:rPr>
          <w:rFonts w:eastAsiaTheme="minorHAnsi"/>
          <w:sz w:val="24"/>
          <w:szCs w:val="24"/>
        </w:rPr>
        <w:br w:type="page"/>
      </w:r>
    </w:p>
    <w:p w14:paraId="2AF593E6" w14:textId="5E4E6958" w:rsidR="000D469B" w:rsidRPr="00E73564" w:rsidRDefault="000D469B" w:rsidP="00C66AAF">
      <w:pPr>
        <w:pStyle w:val="Nrberschrift2ITZBund"/>
        <w:spacing w:before="360" w:after="180" w:line="300" w:lineRule="auto"/>
        <w:jc w:val="both"/>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C66AAF">
      <w:pPr>
        <w:pStyle w:val="Nrberschrift3ITZBund"/>
        <w:spacing w:before="360" w:after="180" w:line="300" w:lineRule="auto"/>
        <w:ind w:left="720" w:hanging="720"/>
        <w:jc w:val="both"/>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C66AAF">
      <w:pPr>
        <w:spacing w:after="240" w:line="300" w:lineRule="auto"/>
        <w:jc w:val="both"/>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C66AAF">
      <w:pPr>
        <w:spacing w:after="240" w:line="300" w:lineRule="auto"/>
        <w:jc w:val="both"/>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C66AAF">
      <w:pPr>
        <w:pStyle w:val="Listenabsatz"/>
        <w:numPr>
          <w:ilvl w:val="0"/>
          <w:numId w:val="9"/>
        </w:numPr>
        <w:spacing w:after="240" w:line="300" w:lineRule="auto"/>
        <w:ind w:left="709" w:hanging="425"/>
        <w:jc w:val="both"/>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C66AAF">
      <w:pPr>
        <w:pStyle w:val="Nrberschrift3ITZBund"/>
        <w:spacing w:before="360" w:after="180" w:line="300" w:lineRule="auto"/>
        <w:ind w:left="720" w:hanging="720"/>
        <w:jc w:val="both"/>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C66AAF">
      <w:pPr>
        <w:spacing w:after="240" w:line="300" w:lineRule="auto"/>
        <w:jc w:val="both"/>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C66AAF">
      <w:pPr>
        <w:pStyle w:val="Listenabsatz"/>
        <w:numPr>
          <w:ilvl w:val="0"/>
          <w:numId w:val="10"/>
        </w:numPr>
        <w:spacing w:after="240" w:line="300" w:lineRule="auto"/>
        <w:ind w:left="709"/>
        <w:jc w:val="both"/>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C66AAF">
      <w:pPr>
        <w:pStyle w:val="Listenabsatz"/>
        <w:numPr>
          <w:ilvl w:val="0"/>
          <w:numId w:val="10"/>
        </w:numPr>
        <w:spacing w:after="240" w:line="300" w:lineRule="auto"/>
        <w:ind w:left="709"/>
        <w:jc w:val="both"/>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C66AAF">
      <w:pPr>
        <w:pStyle w:val="Listenabsatz"/>
        <w:numPr>
          <w:ilvl w:val="0"/>
          <w:numId w:val="10"/>
        </w:numPr>
        <w:spacing w:after="240" w:line="300" w:lineRule="auto"/>
        <w:ind w:left="709"/>
        <w:jc w:val="both"/>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C66AAF">
      <w:pPr>
        <w:spacing w:after="240" w:line="300" w:lineRule="auto"/>
        <w:jc w:val="both"/>
        <w:rPr>
          <w:rFonts w:eastAsiaTheme="minorHAnsi"/>
          <w:sz w:val="24"/>
          <w:szCs w:val="24"/>
        </w:rPr>
      </w:pPr>
      <w:r>
        <w:rPr>
          <w:rFonts w:eastAsiaTheme="minorHAnsi"/>
          <w:sz w:val="24"/>
          <w:szCs w:val="24"/>
        </w:rPr>
        <w:br w:type="page"/>
      </w:r>
    </w:p>
    <w:p w14:paraId="168D46CC" w14:textId="49A75F8E" w:rsidR="002D621F" w:rsidRDefault="00C86489" w:rsidP="00C66AAF">
      <w:pPr>
        <w:pStyle w:val="berschrift1"/>
        <w:spacing w:before="600" w:after="240" w:line="300" w:lineRule="auto"/>
        <w:jc w:val="both"/>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C66AAF">
            <w:pPr>
              <w:spacing w:after="240"/>
              <w:jc w:val="both"/>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Beteiligte sind Unternehmen, die mit der Erbringung der Leistung in direktem Zusammenhang stehen oder die Produkthersteller sind. Neben den </w:t>
            </w:r>
            <w:proofErr w:type="spellStart"/>
            <w:r w:rsidRPr="00877C32">
              <w:rPr>
                <w:szCs w:val="22"/>
              </w:rPr>
              <w:t>Endfertigern</w:t>
            </w:r>
            <w:proofErr w:type="spellEnd"/>
            <w:r w:rsidRPr="00877C32">
              <w:rPr>
                <w:szCs w:val="22"/>
              </w:rPr>
              <w:t xml:space="preserve">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Erfahrung (</w:t>
            </w:r>
            <w:proofErr w:type="spellStart"/>
            <w:r w:rsidRPr="00877C32">
              <w:rPr>
                <w:rFonts w:asciiTheme="minorHAnsi" w:hAnsiTheme="minorHAnsi"/>
                <w:szCs w:val="22"/>
              </w:rPr>
              <w:t>i.S.d</w:t>
            </w:r>
            <w:proofErr w:type="spellEnd"/>
            <w:r w:rsidRPr="00877C32">
              <w:rPr>
                <w:rFonts w:asciiTheme="minorHAnsi" w:hAnsiTheme="minorHAnsi"/>
                <w:szCs w:val="22"/>
              </w:rPr>
              <w:t>.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C66AAF">
            <w:pPr>
              <w:pStyle w:val="Listenabsatz"/>
              <w:numPr>
                <w:ilvl w:val="1"/>
                <w:numId w:val="11"/>
              </w:numPr>
              <w:spacing w:after="240"/>
              <w:ind w:left="704"/>
              <w:jc w:val="both"/>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C66AAF">
            <w:pPr>
              <w:pStyle w:val="Listenabsatz"/>
              <w:numPr>
                <w:ilvl w:val="1"/>
                <w:numId w:val="11"/>
              </w:numPr>
              <w:spacing w:after="240"/>
              <w:ind w:left="704"/>
              <w:jc w:val="both"/>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C66AAF">
            <w:pPr>
              <w:pStyle w:val="Listenabsatz"/>
              <w:numPr>
                <w:ilvl w:val="1"/>
                <w:numId w:val="11"/>
              </w:numPr>
              <w:spacing w:after="240"/>
              <w:ind w:left="704"/>
              <w:jc w:val="both"/>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C66AAF">
            <w:pPr>
              <w:pStyle w:val="Listenabsatz"/>
              <w:numPr>
                <w:ilvl w:val="1"/>
                <w:numId w:val="11"/>
              </w:numPr>
              <w:spacing w:after="240"/>
              <w:ind w:left="704"/>
              <w:jc w:val="both"/>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C66AAF">
            <w:pPr>
              <w:pStyle w:val="Listenabsatz"/>
              <w:numPr>
                <w:ilvl w:val="1"/>
                <w:numId w:val="12"/>
              </w:numPr>
              <w:spacing w:after="240"/>
              <w:ind w:left="987" w:hanging="283"/>
              <w:jc w:val="both"/>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Hauptleistungs-</w:t>
            </w:r>
            <w:proofErr w:type="spellStart"/>
            <w:r w:rsidRPr="00877C32">
              <w:rPr>
                <w:rFonts w:asciiTheme="minorHAnsi" w:hAnsiTheme="minorHAnsi"/>
                <w:szCs w:val="22"/>
              </w:rPr>
              <w:t>bestandteil</w:t>
            </w:r>
            <w:proofErr w:type="spellEnd"/>
          </w:p>
        </w:tc>
        <w:tc>
          <w:tcPr>
            <w:tcW w:w="6799" w:type="dxa"/>
          </w:tcPr>
          <w:p w14:paraId="205C6818" w14:textId="72AB6AAB" w:rsidR="00877C32" w:rsidRPr="007774B9"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C66AAF">
            <w:pPr>
              <w:pStyle w:val="Listenabsatz"/>
              <w:numPr>
                <w:ilvl w:val="2"/>
                <w:numId w:val="7"/>
              </w:numPr>
              <w:spacing w:after="240"/>
              <w:ind w:left="562"/>
              <w:jc w:val="both"/>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w:t>
            </w:r>
            <w:proofErr w:type="spellStart"/>
            <w:r w:rsidRPr="007774B9">
              <w:t>i.H.v</w:t>
            </w:r>
            <w:proofErr w:type="spellEnd"/>
            <w:r w:rsidRPr="007774B9">
              <w:t xml:space="preserve">. 500 TSD €. Hier sind Laptops der Hauptleistungsbestandteil. </w:t>
            </w:r>
          </w:p>
          <w:p w14:paraId="185BB640" w14:textId="24A2200C" w:rsidR="00BD4896" w:rsidRPr="007774B9" w:rsidRDefault="00877C32" w:rsidP="00C66AAF">
            <w:pPr>
              <w:pStyle w:val="Listenabsatz"/>
              <w:numPr>
                <w:ilvl w:val="2"/>
                <w:numId w:val="7"/>
              </w:numPr>
              <w:spacing w:after="240"/>
              <w:ind w:left="562"/>
              <w:jc w:val="both"/>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Nachweise </w:t>
            </w:r>
            <w:proofErr w:type="spellStart"/>
            <w:r w:rsidRPr="00877C32">
              <w:rPr>
                <w:szCs w:val="22"/>
              </w:rPr>
              <w:t>i.S.d</w:t>
            </w:r>
            <w:proofErr w:type="spellEnd"/>
            <w:r w:rsidRPr="00877C32">
              <w:rPr>
                <w:szCs w:val="22"/>
              </w:rPr>
              <w:t xml:space="preserve">. Erklärung sind die im Rahmen von Variante 1 zur Plausibilitätsprüfung genannten Unterlagen. </w:t>
            </w:r>
            <w:proofErr w:type="spellStart"/>
            <w:r w:rsidRPr="00877C32">
              <w:rPr>
                <w:szCs w:val="22"/>
              </w:rPr>
              <w:t>I.d.S</w:t>
            </w:r>
            <w:proofErr w:type="spellEnd"/>
            <w:r w:rsidRPr="00877C32">
              <w:rPr>
                <w:szCs w:val="22"/>
              </w:rPr>
              <w:t>.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w:t>
            </w:r>
            <w:proofErr w:type="spellStart"/>
            <w:r w:rsidRPr="00877C32">
              <w:rPr>
                <w:szCs w:val="22"/>
              </w:rPr>
              <w:t>i.S.d</w:t>
            </w:r>
            <w:proofErr w:type="spellEnd"/>
            <w:r w:rsidRPr="00877C32">
              <w:rPr>
                <w:szCs w:val="22"/>
              </w:rPr>
              <w:t xml:space="preserve">. Erklärung.  </w:t>
            </w:r>
          </w:p>
          <w:p w14:paraId="156F5117" w14:textId="12D2D8A1" w:rsidR="00BD4896"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C66AAF">
            <w:pPr>
              <w:spacing w:after="240"/>
              <w:jc w:val="both"/>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C66AAF">
      <w:pPr>
        <w:spacing w:after="240" w:line="300" w:lineRule="auto"/>
        <w:jc w:val="both"/>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C66AAF">
            <w:pPr>
              <w:spacing w:after="240"/>
              <w:jc w:val="both"/>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C66AAF">
            <w:pPr>
              <w:spacing w:after="240"/>
              <w:jc w:val="both"/>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867E07"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C66AAF">
            <w:pPr>
              <w:spacing w:after="240"/>
              <w:jc w:val="both"/>
              <w:rPr>
                <w:rFonts w:asciiTheme="minorHAnsi" w:hAnsiTheme="minorHAnsi"/>
                <w:szCs w:val="22"/>
              </w:rPr>
            </w:pPr>
            <w:r w:rsidRPr="007774B9">
              <w:rPr>
                <w:rFonts w:asciiTheme="minorHAnsi" w:hAnsiTheme="minorHAnsi"/>
                <w:szCs w:val="22"/>
              </w:rPr>
              <w:t xml:space="preserve">BSCI – </w:t>
            </w:r>
            <w:proofErr w:type="spellStart"/>
            <w:r w:rsidRPr="007774B9">
              <w:rPr>
                <w:rFonts w:asciiTheme="minorHAnsi" w:hAnsiTheme="minorHAnsi"/>
                <w:szCs w:val="22"/>
              </w:rPr>
              <w:t>Amfori</w:t>
            </w:r>
            <w:proofErr w:type="spellEnd"/>
            <w:r w:rsidRPr="007774B9">
              <w:rPr>
                <w:rFonts w:asciiTheme="minorHAnsi" w:hAnsiTheme="minorHAnsi"/>
                <w:szCs w:val="22"/>
              </w:rPr>
              <w:t xml:space="preserve"> </w:t>
            </w:r>
          </w:p>
        </w:tc>
        <w:tc>
          <w:tcPr>
            <w:tcW w:w="7015" w:type="dxa"/>
          </w:tcPr>
          <w:p w14:paraId="6E0C8D02" w14:textId="2F8F1723" w:rsidR="007774B9" w:rsidRPr="007774B9" w:rsidRDefault="00867E07"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867E07"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C66AAF">
            <w:pPr>
              <w:spacing w:after="240"/>
              <w:jc w:val="both"/>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867E07"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867E07"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867E07"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C66AAF">
            <w:pPr>
              <w:spacing w:after="240"/>
              <w:jc w:val="both"/>
              <w:rPr>
                <w:rFonts w:asciiTheme="minorHAnsi" w:hAnsiTheme="minorHAnsi"/>
                <w:szCs w:val="22"/>
              </w:rPr>
            </w:pPr>
            <w:r w:rsidRPr="007774B9">
              <w:rPr>
                <w:rFonts w:asciiTheme="minorHAnsi" w:hAnsiTheme="minorHAnsi"/>
                <w:szCs w:val="22"/>
              </w:rPr>
              <w:t xml:space="preserve">TCO </w:t>
            </w:r>
            <w:proofErr w:type="spellStart"/>
            <w:r w:rsidRPr="007774B9">
              <w:rPr>
                <w:rFonts w:asciiTheme="minorHAnsi" w:hAnsiTheme="minorHAnsi"/>
                <w:szCs w:val="22"/>
              </w:rPr>
              <w:t>certified</w:t>
            </w:r>
            <w:proofErr w:type="spellEnd"/>
          </w:p>
        </w:tc>
        <w:tc>
          <w:tcPr>
            <w:tcW w:w="7015" w:type="dxa"/>
          </w:tcPr>
          <w:p w14:paraId="498D6118" w14:textId="791FBCBC" w:rsidR="007774B9" w:rsidRPr="007774B9" w:rsidRDefault="00867E07" w:rsidP="00C66AAF">
            <w:pPr>
              <w:spacing w:after="240"/>
              <w:jc w:val="both"/>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C66AAF">
      <w:pPr>
        <w:spacing w:after="240" w:line="300" w:lineRule="auto"/>
        <w:jc w:val="both"/>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w:t>
      </w:r>
      <w:proofErr w:type="spellStart"/>
      <w:r>
        <w:t>amfori</w:t>
      </w:r>
      <w:proofErr w:type="spellEnd"/>
      <w:r>
        <w:t xml:space="preserve"> BSCI in Vereinbarung mit </w:t>
      </w:r>
      <w:proofErr w:type="spellStart"/>
      <w:r>
        <w:t>BeschA</w:t>
      </w:r>
      <w:proofErr w:type="spellEnd"/>
      <w:r>
        <w:t xml:space="preserve"> / KNB für die Verwendung im Rahmen der</w:t>
      </w:r>
    </w:p>
    <w:p w14:paraId="5DC803B1" w14:textId="77777777" w:rsidR="00DC7B8F" w:rsidRDefault="00DC7B8F" w:rsidP="00DC7B8F">
      <w:pPr>
        <w:pStyle w:val="Funotentext"/>
      </w:pPr>
      <w:r>
        <w:t xml:space="preserve">vorliegenden Vereinbarung aus. </w:t>
      </w:r>
      <w:proofErr w:type="spellStart"/>
      <w:r>
        <w:t>Amfori</w:t>
      </w:r>
      <w:proofErr w:type="spellEnd"/>
      <w:r>
        <w:t xml:space="preserve">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 xml:space="preserve">die </w:t>
      </w:r>
      <w:proofErr w:type="spellStart"/>
      <w:r>
        <w:t>i.S.d</w:t>
      </w:r>
      <w:proofErr w:type="spellEnd"/>
      <w:r>
        <w:t>. Erklärung geforderten ILO-Normen vorhanden sind. Es handelt sich hierbei nicht um ein öffentlich</w:t>
      </w:r>
    </w:p>
    <w:p w14:paraId="5A6FE58C" w14:textId="3CA37445" w:rsidR="00DC7B8F" w:rsidRDefault="00DC7B8F" w:rsidP="00DC7B8F">
      <w:pPr>
        <w:pStyle w:val="Funotentext"/>
      </w:pPr>
      <w:r>
        <w:t xml:space="preserve">zugängliches und überprüfbares Zertifikat. Eine reine Mitgliedschaft bei </w:t>
      </w:r>
      <w:proofErr w:type="spellStart"/>
      <w:r>
        <w:t>amfori</w:t>
      </w:r>
      <w:proofErr w:type="spellEnd"/>
      <w:r>
        <w:t xml:space="preserve">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4"/>
  </w:num>
  <w:num w:numId="2">
    <w:abstractNumId w:val="6"/>
  </w:num>
  <w:num w:numId="3">
    <w:abstractNumId w:val="5"/>
  </w:num>
  <w:num w:numId="4">
    <w:abstractNumId w:val="10"/>
  </w:num>
  <w:num w:numId="5">
    <w:abstractNumId w:val="7"/>
  </w:num>
  <w:num w:numId="6">
    <w:abstractNumId w:val="11"/>
  </w:num>
  <w:num w:numId="7">
    <w:abstractNumId w:val="12"/>
  </w:num>
  <w:num w:numId="8">
    <w:abstractNumId w:val="2"/>
  </w:num>
  <w:num w:numId="9">
    <w:abstractNumId w:val="3"/>
  </w:num>
  <w:num w:numId="10">
    <w:abstractNumId w:val="1"/>
  </w:num>
  <w:num w:numId="11">
    <w:abstractNumId w:val="8"/>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PU4rayBDDqlwTAJNg9P4U9bYUu4XqpWX8EDIeTHHB/ubEpzBR+kUggHgzLupZiLv9G9+g6e1JcjFTMjMFxk7YQ==" w:saltValue="QnHbJyfcUtWIlXmaMLgvQ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554A"/>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451D2"/>
    <w:rsid w:val="00491249"/>
    <w:rsid w:val="004A4696"/>
    <w:rsid w:val="004B22D0"/>
    <w:rsid w:val="004B3DBE"/>
    <w:rsid w:val="004C4073"/>
    <w:rsid w:val="004C64D9"/>
    <w:rsid w:val="004D1529"/>
    <w:rsid w:val="00500F3F"/>
    <w:rsid w:val="00501E4F"/>
    <w:rsid w:val="00502644"/>
    <w:rsid w:val="005124C5"/>
    <w:rsid w:val="00515252"/>
    <w:rsid w:val="00525E5E"/>
    <w:rsid w:val="00526502"/>
    <w:rsid w:val="00536FE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67E07"/>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6AAF"/>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5220E139-ADAF-4A94-8CB4-FFA0948537C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4.xml><?xml version="1.0" encoding="utf-8"?>
<ds:datastoreItem xmlns:ds="http://schemas.openxmlformats.org/officeDocument/2006/customXml" ds:itemID="{9F82AA73-8178-4733-ADEB-4E7690AB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5187</Words>
  <Characters>32684</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de Boer, Tom ( ITZBund B, extern )</cp:lastModifiedBy>
  <cp:revision>3</cp:revision>
  <cp:lastPrinted>2025-03-25T09:51:00Z</cp:lastPrinted>
  <dcterms:created xsi:type="dcterms:W3CDTF">2026-07-17T10:09:00Z</dcterms:created>
  <dcterms:modified xsi:type="dcterms:W3CDTF">2026-08-17T14:20:00Z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